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Информационно-статистический обзор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граждан, направленных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Территориальный орган Федеральной службы государственной статистики по Ростовской области (Ростовстат)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(наименование территориального органа Росстата)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3 квартале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Территориальный орган Федеральной службы государственной статистики по Ростовской области (Ростовстат)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b w:val="1"/>
          <w:sz w:val="28"/>
          <w:szCs w:val="28"/>
          <w:rtl w:val="0"/>
        </w:rPr>
        <w:tab/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поступило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обращений граждан.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поступивших обращений граждан по типу обращения: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заявления – 14 (12,5 %)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 - 0 (0%);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жалобы - 0 (0 %);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запросы информации – 98 (87,5 %).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них поступивших: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повторно - 0;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многократно - 0.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Каналы поступления обращений: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 источнику поступления: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аппарата Полномочного представителя Президента в федеральном </w:t>
        <w:br w:type="textWrapping"/>
        <w:t xml:space="preserve">округе - 0 (0 %);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Губернатора субъекта Российской Федерации - 0 (0 %);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Правительства субъекта Российской Федерации - 0 (0 %);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 типу доставки: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Почтой России – 5  (4,4 %);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системой МЭДО –0 (0 %);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сети Интернет (электронной почтой) - 66 (58,9 %);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личный прием – 0 (0 %);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нарочным – 41 (36,7 %).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рассмотрено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граждан, в том числе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обращений, поступивших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 Из них коллективных обращений нет.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 находятся на рассмотрении на 01.10.201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поступивших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рассмотрения обращений граждан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дано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ответов, из них: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письменных - 47 (41,9 %);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форме электронного документа - 65 (58,1 %);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устной форме (личный прием) - 0 (0 %).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характеру принятых по результатам рассмотрения обращений решений: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"разъяснено" – 0  (0 %);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"не поддержано" - 0 (0 %);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"поддержано" - 112 (100 %).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срокам рассмотрения обращений граждан: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рассмотрено в установленные сроки - 112 (100 %);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рассмотрено с нарушением сроков - 0 (0 %);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продлено - 0 (0 %).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форме рассмотрения обращений граждан: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участием заявителя - 0 (0 %);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 участия заявителя - 112 (100 %).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должностному лицу, подписавшему ответ: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руководителя Росстата - 0 (0 %);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заместителя руководителя Росстата - 0 (0 %);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начальника управления Росстата - 0 (0 %);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руководителя территориального органа Росстата - 10 (8,9 %);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заместителя руководителя территориального органа </w:t>
        <w:br w:type="textWrapping"/>
        <w:t xml:space="preserve">Росстата - 102 (91,1 %).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рассмотрения обращений граждан нет обращений на действие либо бездействие должностных лиц Ростовстата.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обращения граждан, поступившие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года, являются предметом ведения Российской Федерации.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тематика обращений в 3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(в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статистики):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  <w:tblGridChange w:id="0">
          <w:tblGrid>
            <w:gridCol w:w="2552"/>
            <w:gridCol w:w="5954"/>
            <w:gridCol w:w="850"/>
            <w:gridCol w:w="851"/>
            <w:gridCol w:w="850"/>
          </w:tblGrid>
        </w:tblGridChange>
      </w:tblGrid>
      <w:tr>
        <w:trPr>
          <w:cantSplit w:val="1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вопроса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поступивших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рассмотренных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рассмотрении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0001.0001.0018.0000</w:t>
            </w:r>
          </w:p>
        </w:tc>
        <w:tc>
          <w:tcPr>
            <w:tcBorders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Государственные награды. Высшие степени и знаки отличия. Почетные звания. Знаки, значки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0001.0001.0018.0055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0001.0001.0018.0056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Почетные звания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0001.0002.0025.0000</w:t>
            </w:r>
          </w:p>
        </w:tc>
        <w:tc>
          <w:tcPr>
            <w:tcBorders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0001.0002.0025.0115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Прожиточный минимум. Состав «потребительской корзины». Уровень жизни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0001.0002.0025.0120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Цены и ценообразование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0002.0007.0069.0000</w:t>
            </w:r>
          </w:p>
        </w:tc>
        <w:tc>
          <w:tcPr>
            <w:tcBorders>
              <w:top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Трудовой стаж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0002.0007.0069.0280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Трудовой стаж и трудовые книжки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0003.0012.0134.0000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Информационные ресурсы. Пользование информационными ресурсами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0003.0012.0134.0880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Архивный фонд. Архивы. Структура архивов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0003.0012.0134.0881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Запросы архивных данных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1"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