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1" w:rsidRPr="00231FA6" w:rsidRDefault="00F83581" w:rsidP="00F83581">
      <w:pPr>
        <w:jc w:val="center"/>
        <w:rPr>
          <w:rFonts w:ascii="Arial" w:hAnsi="Arial"/>
          <w:b/>
          <w:sz w:val="28"/>
          <w:szCs w:val="28"/>
        </w:rPr>
      </w:pPr>
      <w:r w:rsidRPr="00231FA6">
        <w:rPr>
          <w:rFonts w:ascii="Arial" w:hAnsi="Arial"/>
          <w:b/>
          <w:sz w:val="28"/>
          <w:szCs w:val="28"/>
        </w:rPr>
        <w:t>Методологические пояснения</w:t>
      </w:r>
    </w:p>
    <w:p w:rsidR="00F83581" w:rsidRPr="00231FA6" w:rsidRDefault="00F83581" w:rsidP="00F83581">
      <w:pPr>
        <w:jc w:val="center"/>
        <w:rPr>
          <w:rFonts w:ascii="Arial" w:hAnsi="Arial"/>
          <w:b/>
          <w:sz w:val="28"/>
          <w:szCs w:val="28"/>
        </w:rPr>
      </w:pPr>
    </w:p>
    <w:p w:rsidR="00F83581" w:rsidRPr="00231FA6" w:rsidRDefault="00F83581" w:rsidP="00F83581">
      <w:pPr>
        <w:jc w:val="both"/>
        <w:rPr>
          <w:rFonts w:ascii="Arial" w:hAnsi="Arial"/>
          <w:b/>
          <w:sz w:val="16"/>
        </w:rPr>
      </w:pPr>
      <w:bookmarkStart w:id="0" w:name="_GoBack"/>
      <w:bookmarkEnd w:id="0"/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Денежные доходы населения</w:t>
      </w:r>
      <w:r w:rsidRPr="00231FA6">
        <w:rPr>
          <w:rFonts w:ascii="Arial" w:hAnsi="Arial"/>
        </w:rPr>
        <w:t xml:space="preserve"> включают выплаченную заработную плату наемных работников (начисленную заработную плату, скорректированную на изменение просроченной задолженности), доходы лиц, занятых предпринимательской деятельностью, социальные выплаты (пенсии, пособия, стипендии, страховые возмещения и прочие выплаты в денежной форме), доходы от собственности в виде процентов по вкладам, ценным бумагам, дивидендов и другие доходы.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Среднедушевые денежные доходы</w:t>
      </w:r>
      <w:r w:rsidRPr="00231FA6">
        <w:rPr>
          <w:rFonts w:ascii="Arial" w:hAnsi="Arial"/>
        </w:rPr>
        <w:t xml:space="preserve"> исчисляются делением общей суммы денежного дохода на среднегодовую численность постоянного населения.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 xml:space="preserve">Располагаемые денежные доходы </w:t>
      </w:r>
      <w:r w:rsidRPr="00231FA6">
        <w:rPr>
          <w:rFonts w:ascii="Arial" w:hAnsi="Arial"/>
        </w:rPr>
        <w:t>– денежные</w:t>
      </w:r>
      <w:r w:rsidRPr="00231FA6">
        <w:rPr>
          <w:rFonts w:ascii="Arial" w:hAnsi="Arial"/>
          <w:b/>
        </w:rPr>
        <w:t xml:space="preserve"> </w:t>
      </w:r>
      <w:r w:rsidRPr="00231FA6">
        <w:rPr>
          <w:rFonts w:ascii="Arial" w:hAnsi="Arial"/>
        </w:rPr>
        <w:t>доходы за вычетом обязательных платежей и взносов.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 xml:space="preserve">Реальный размер денежных доходов </w:t>
      </w:r>
      <w:r w:rsidRPr="00231FA6">
        <w:rPr>
          <w:rFonts w:ascii="Arial" w:hAnsi="Arial"/>
        </w:rPr>
        <w:t>– относительный показатель, исчисленный путем деления индекса номинального размера (т.е. фактически сложившегося в отчетном периоде) денежных доходов населения на индекс потребительских цен за соответствующий временной период.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Соотношение денежных доходов населения с величиной прожиточного минимума</w:t>
      </w:r>
      <w:r w:rsidRPr="00231FA6">
        <w:rPr>
          <w:rFonts w:ascii="Arial" w:hAnsi="Arial"/>
        </w:rPr>
        <w:t xml:space="preserve"> выражается количественным (процентным) коэффициентом между различными видами денежных доходов и величиной прожиточного минимума по соответствующей группе </w:t>
      </w:r>
      <w:proofErr w:type="spellStart"/>
      <w:r w:rsidRPr="00231FA6">
        <w:rPr>
          <w:rFonts w:ascii="Arial" w:hAnsi="Arial"/>
        </w:rPr>
        <w:t>доходополучателей</w:t>
      </w:r>
      <w:proofErr w:type="spellEnd"/>
      <w:r w:rsidRPr="00231FA6">
        <w:rPr>
          <w:rFonts w:ascii="Arial" w:hAnsi="Arial"/>
        </w:rPr>
        <w:t>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Покупательная способность денежных доходов населения</w:t>
      </w:r>
      <w:r w:rsidRPr="00231FA6">
        <w:rPr>
          <w:rFonts w:ascii="Arial" w:hAnsi="Arial"/>
        </w:rP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 населения.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Денежные расходы населения</w:t>
      </w:r>
      <w:r w:rsidRPr="00231FA6">
        <w:rPr>
          <w:rFonts w:ascii="Arial" w:hAnsi="Arial"/>
        </w:rPr>
        <w:t xml:space="preserve"> включают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проценты, уплаченные населением за пользование ссудами и др.), сбережения, покупку иностранной валюты. Сбережения состоят из прироста (уменьшения) вкладов на счетах граждан, расходов на приобретение ценных бумаг, недвижимости, изменения средств на счетах физических лиц – предпринимателей, задолженности по кредитам.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Среднемесячная номинальная начисленная заработная плата</w:t>
      </w:r>
      <w:r w:rsidRPr="00231FA6">
        <w:rPr>
          <w:rFonts w:ascii="Arial" w:hAnsi="Arial"/>
        </w:rP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 Пособия, получаемые работниками из государственных социальных внебюджетных фондов, не включаются в фонд заработной платы и среднемесячную заработную плату.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Реальная начисленная заработная плата</w:t>
      </w:r>
      <w:r w:rsidRPr="00231FA6">
        <w:rPr>
          <w:rFonts w:ascii="Arial" w:hAnsi="Arial"/>
        </w:rPr>
        <w:t xml:space="preserve"> характеризует </w:t>
      </w:r>
      <w:r w:rsidRPr="00231FA6">
        <w:rPr>
          <w:rFonts w:ascii="Arial" w:hAnsi="Arial"/>
        </w:rPr>
        <w:br/>
        <w:t xml:space="preserve">объем товаров и услуг, которые можно приобрести на заработную </w:t>
      </w:r>
      <w:r w:rsidRPr="00231FA6">
        <w:rPr>
          <w:rFonts w:ascii="Arial" w:hAnsi="Arial"/>
        </w:rPr>
        <w:br/>
        <w:t>плату в текущем периоде, исходя из цен базисного периода. Индекс реальной начисленной заработной платы исчисляется путем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Средний размер назначенных месячных пенсий</w:t>
      </w:r>
      <w:r w:rsidRPr="00231FA6">
        <w:rPr>
          <w:rFonts w:ascii="Arial" w:hAnsi="Arial"/>
        </w:rPr>
        <w:t xml:space="preserve"> пенсионеров определяется делением общей суммы назначенных месячных пенсий на численность пенсионеров, состоящих на учете в отделении Пенсионного фонда Российской Федерации по Ростовской области.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Реальный размер назначенной месячной пенсии</w:t>
      </w:r>
      <w:r w:rsidRPr="00231FA6">
        <w:rPr>
          <w:rFonts w:ascii="Arial" w:hAnsi="Arial"/>
        </w:rPr>
        <w:t xml:space="preserve"> – относительный показатель, исчисленный путем деления индекса  номинального размера (т.е. фактически сложившегося в отчетном периоде) назначенных месячных пенсий на индекс потребительских цен за соответствующий временной период.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Распределение населения по уровню среднедушевых денежных доходов</w:t>
      </w:r>
      <w:r w:rsidRPr="00231FA6">
        <w:rPr>
          <w:rFonts w:ascii="Arial" w:hAnsi="Arial"/>
        </w:rP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сгруппированного в заданных интервалах по уровню среднедушевых денежных доходов. Ряды распределения строятся с </w:t>
      </w:r>
      <w:r w:rsidRPr="00231FA6">
        <w:rPr>
          <w:rFonts w:ascii="Arial" w:hAnsi="Arial"/>
        </w:rPr>
        <w:lastRenderedPageBreak/>
        <w:t xml:space="preserve">применением метода имитационного моделирования в соответствии с методикой, утвержденной постановлением Госкомстата России от 16 июля 1996г. № 61 по согласованию с рядом заинтересованных министерств и ведомств, путем преобразования эмпирического распределения, полученного на основе данных выборочного обследования бюджетов домашних хозяйств, в ряд распределения, соответствующий значению </w:t>
      </w:r>
      <w:proofErr w:type="spellStart"/>
      <w:r w:rsidRPr="00231FA6">
        <w:rPr>
          <w:rFonts w:ascii="Arial" w:hAnsi="Arial"/>
        </w:rPr>
        <w:t>группировочного</w:t>
      </w:r>
      <w:proofErr w:type="spellEnd"/>
      <w:r w:rsidRPr="00231FA6">
        <w:rPr>
          <w:rFonts w:ascii="Arial" w:hAnsi="Arial"/>
        </w:rPr>
        <w:t xml:space="preserve"> признака в генеральной совокупности (среднедушевому денежному доходу, полученному по данным баланса денежных доходов и расходов населения).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Распределение общего объема денежных доходов по различным группам населения</w:t>
      </w:r>
      <w:r w:rsidRPr="00231FA6">
        <w:rPr>
          <w:rFonts w:ascii="Arial" w:hAnsi="Arial"/>
        </w:rPr>
        <w:t xml:space="preserve"> выражается через долю общего объема денежных доходов, которая приходится на каждую из 20-ти (10-ти) процентных групп населения, ранжированного по мере возрастания среднедушевых денежных доходов.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Коэффициент Джини (индекс концентрации доходов)</w:t>
      </w:r>
      <w:r w:rsidRPr="00231FA6">
        <w:rPr>
          <w:rFonts w:ascii="Arial" w:hAnsi="Arial"/>
        </w:rPr>
        <w:t xml:space="preserve"> характеризует степень отклонения линии фактического распределения общего объема доходов населения от линии их равномерного распределения. Величина коэффициента может варьироваться от 0 до 1, при этом чем выше значение показателя, тем более неравномерно распределены доходы в обществе.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Коэффициент фондов</w:t>
      </w:r>
      <w:r w:rsidRPr="00231FA6">
        <w:rPr>
          <w:rFonts w:ascii="Arial" w:hAnsi="Arial"/>
        </w:rPr>
        <w:t xml:space="preserve"> (коэффициент дифференциации доходов) характеризует степень социального расслоения и определяется как соотношение между средними уровнями денежных доходов 10% населения с самыми высокими доходами и 10% населения с самыми низкими доходами.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 xml:space="preserve">Величина прожиточного минимума </w:t>
      </w:r>
      <w:r w:rsidRPr="00231FA6">
        <w:rPr>
          <w:rFonts w:ascii="Arial" w:hAnsi="Arial"/>
        </w:rPr>
        <w:t>в соответствии с Федеральным законом от 24 октября 1997г. № 134-ФЗ «О прожиточном минимуме в Российской Федерации» представляет собой стоимостную оценку потребительской корзины, а также обязательные платежи и сборы. Потребительская корзина включает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</w:rPr>
        <w:t>Величина прожиточного минимума определяется ежеквартально и устанавливается Правительством Ростовской области.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</w:rPr>
        <w:t>С 1 января 2013 года Федеральным законом от 3 декабря 2012 года № 233-ФЗ «О внесении изменений в Федеральный закон «О прожиточном минимуме в Российской Федерации» введен новый порядок определения потребительской корзины и прожиточного минимума в целом по Российской Федерации и в субъектах Российской Федерации. Он предусматривает, что в потребительскую корзину будет включаться необходимый для сохранения здоровья человека и обеспечения его жизнедеятельности минимальный набор продуктов питания, которые будут определяться в натуральных показателях, а также непродовольственные товары и услуги – в процентах от стоимости продуктов питания.</w:t>
      </w:r>
    </w:p>
    <w:p w:rsidR="00F83581" w:rsidRPr="00231FA6" w:rsidRDefault="00F83581" w:rsidP="00F83581">
      <w:pPr>
        <w:ind w:firstLine="720"/>
        <w:jc w:val="both"/>
        <w:rPr>
          <w:rFonts w:ascii="Arial" w:hAnsi="Arial" w:cs="Arial"/>
        </w:rPr>
      </w:pPr>
      <w:r w:rsidRPr="00231FA6">
        <w:rPr>
          <w:rFonts w:ascii="Arial" w:hAnsi="Arial" w:cs="Arial"/>
        </w:rPr>
        <w:t>Расчеты величины прожиточного минимума осуществляются Министерством труда и социального развития Ростовской области на основе потребительской корзины, установленной Постановлением Законодательного собрания Ростовской области от 23 апреля 2013 года №2480.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</w:rPr>
        <w:t>Принимая во внимание вышесказанное, сопоставительный анализ с предыдущими годами необходимо проводить с учетом данных изменений.</w:t>
      </w:r>
    </w:p>
    <w:p w:rsidR="00F83581" w:rsidRPr="00231FA6" w:rsidRDefault="00F83581" w:rsidP="00F83581">
      <w:pPr>
        <w:ind w:firstLine="720"/>
        <w:jc w:val="both"/>
        <w:rPr>
          <w:rFonts w:ascii="Arial" w:hAnsi="Arial"/>
          <w:b/>
        </w:rPr>
      </w:pPr>
    </w:p>
    <w:p w:rsidR="00F83581" w:rsidRPr="00231FA6" w:rsidRDefault="00F83581" w:rsidP="00F83581">
      <w:pPr>
        <w:ind w:firstLine="720"/>
        <w:jc w:val="both"/>
        <w:rPr>
          <w:rFonts w:ascii="Arial" w:hAnsi="Arial"/>
        </w:rPr>
      </w:pPr>
      <w:r w:rsidRPr="00231FA6">
        <w:rPr>
          <w:rFonts w:ascii="Arial" w:hAnsi="Arial"/>
          <w:b/>
        </w:rPr>
        <w:t>Статистика домашних хозяйств</w:t>
      </w:r>
      <w:r w:rsidRPr="00231FA6">
        <w:rPr>
          <w:rFonts w:ascii="Arial" w:hAnsi="Arial"/>
        </w:rPr>
        <w:t xml:space="preserve"> населения – одна из отраслей социально-экономической статистики, изучающая уровень жизни населения  и, главным образом, его материальное положение. Материалы обследования бюджетов домашних хозяйств населения дают объективную картину изменения структуры доходов и потребительских расходов населения; характеризуют их уровень по различным группам населения, позволяют выявить различия в этих уровнях в зависимости от состава домохозяйства, занятости его членов; показывают роль отдельных источников в формировании доходов, зависимость потребления от уровня доходов; позволяют проследить за изменением потребительского спроса; характеризуют дифференциацию населения по уровню дохода и т.д.</w:t>
      </w:r>
    </w:p>
    <w:sectPr w:rsidR="00F83581" w:rsidRPr="0023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81"/>
    <w:rsid w:val="00231FA6"/>
    <w:rsid w:val="002E7D64"/>
    <w:rsid w:val="00705010"/>
    <w:rsid w:val="008E7C00"/>
    <w:rsid w:val="00BD3DC7"/>
    <w:rsid w:val="00C24C1D"/>
    <w:rsid w:val="00C54D98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3581"/>
    <w:pPr>
      <w:keepNext/>
      <w:jc w:val="center"/>
      <w:outlineLvl w:val="2"/>
    </w:pPr>
    <w:rPr>
      <w:rFonts w:ascii="Arial" w:hAnsi="Arial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581"/>
    <w:rPr>
      <w:rFonts w:ascii="Arial" w:eastAsia="Times New Roman" w:hAnsi="Arial" w:cs="Times New Roman"/>
      <w:b/>
      <w:szCs w:val="20"/>
      <w:lang w:val="x-none" w:eastAsia="x-none"/>
    </w:rPr>
  </w:style>
  <w:style w:type="paragraph" w:styleId="a3">
    <w:name w:val="Body Text"/>
    <w:basedOn w:val="a"/>
    <w:link w:val="a4"/>
    <w:rsid w:val="00F83581"/>
    <w:pPr>
      <w:jc w:val="both"/>
    </w:pPr>
    <w:rPr>
      <w:rFonts w:ascii="Arial" w:hAnsi="Arial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358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5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3581"/>
    <w:pPr>
      <w:keepNext/>
      <w:jc w:val="center"/>
      <w:outlineLvl w:val="2"/>
    </w:pPr>
    <w:rPr>
      <w:rFonts w:ascii="Arial" w:hAnsi="Arial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581"/>
    <w:rPr>
      <w:rFonts w:ascii="Arial" w:eastAsia="Times New Roman" w:hAnsi="Arial" w:cs="Times New Roman"/>
      <w:b/>
      <w:szCs w:val="20"/>
      <w:lang w:val="x-none" w:eastAsia="x-none"/>
    </w:rPr>
  </w:style>
  <w:style w:type="paragraph" w:styleId="a3">
    <w:name w:val="Body Text"/>
    <w:basedOn w:val="a"/>
    <w:link w:val="a4"/>
    <w:rsid w:val="00F83581"/>
    <w:pPr>
      <w:jc w:val="both"/>
    </w:pPr>
    <w:rPr>
      <w:rFonts w:ascii="Arial" w:hAnsi="Arial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358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5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Собинова Светлана Владимировна</dc:creator>
  <cp:keywords/>
  <dc:description/>
  <cp:lastModifiedBy>Зайцева ЕД</cp:lastModifiedBy>
  <cp:revision>7</cp:revision>
  <cp:lastPrinted>2017-06-22T13:54:00Z</cp:lastPrinted>
  <dcterms:created xsi:type="dcterms:W3CDTF">2017-06-22T13:44:00Z</dcterms:created>
  <dcterms:modified xsi:type="dcterms:W3CDTF">2017-06-29T12:35:00Z</dcterms:modified>
</cp:coreProperties>
</file>